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89" w:rsidRPr="00241363" w:rsidRDefault="002413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1363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</w:t>
      </w:r>
    </w:p>
    <w:p w:rsidR="00610B89" w:rsidRPr="00241363" w:rsidRDefault="002413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1363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ЧЕРЕМУШКИ</w:t>
      </w:r>
    </w:p>
    <w:p w:rsidR="00610B89" w:rsidRPr="00241363" w:rsidRDefault="00610B8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0B89" w:rsidRPr="00241363" w:rsidRDefault="002413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1363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610B89" w:rsidRPr="00241363" w:rsidRDefault="00610B89">
      <w:pPr>
        <w:spacing w:after="0"/>
        <w:rPr>
          <w:rFonts w:ascii="Times New Roman" w:eastAsia="Calibri" w:hAnsi="Times New Roman" w:cs="Times New Roman"/>
        </w:rPr>
      </w:pPr>
    </w:p>
    <w:p w:rsidR="00610B89" w:rsidRPr="00241363" w:rsidRDefault="00610B89">
      <w:pPr>
        <w:spacing w:after="0"/>
        <w:rPr>
          <w:rFonts w:ascii="Times New Roman" w:eastAsia="Calibri" w:hAnsi="Times New Roman" w:cs="Times New Roman"/>
        </w:rPr>
      </w:pPr>
    </w:p>
    <w:p w:rsidR="00610B89" w:rsidRPr="00241363" w:rsidRDefault="00241363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241363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bookmarkStart w:id="0" w:name="_GoBack"/>
      <w:bookmarkEnd w:id="0"/>
      <w:r w:rsidRPr="00241363">
        <w:rPr>
          <w:rFonts w:ascii="Times New Roman" w:eastAsia="Calibri" w:hAnsi="Times New Roman" w:cs="Times New Roman"/>
          <w:sz w:val="28"/>
          <w:szCs w:val="28"/>
        </w:rPr>
        <w:t>2021 № 44/6</w:t>
      </w:r>
      <w:r w:rsidRPr="002413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610B89" w:rsidRPr="00241363" w:rsidRDefault="00610B89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610B89" w:rsidRPr="00241363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Pr="00241363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Pr="00241363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Pr="00241363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Pr="00241363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363" w:rsidRDefault="00241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363" w:rsidRDefault="00241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363" w:rsidRDefault="00241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363" w:rsidRDefault="00241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363" w:rsidRDefault="00241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6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610B89">
        <w:tc>
          <w:tcPr>
            <w:tcW w:w="4820" w:type="dxa"/>
            <w:shd w:val="clear" w:color="auto" w:fill="auto"/>
          </w:tcPr>
          <w:p w:rsidR="00610B89" w:rsidRDefault="00241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 отказе в согласовании проекта изменения схемы размещения нестационарных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торговых объектов со специализацией «Печать» в части включения адреса в схему размещения</w:t>
            </w:r>
          </w:p>
        </w:tc>
      </w:tr>
    </w:tbl>
    <w:p w:rsidR="00610B89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Default="00610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9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89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89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89" w:rsidRDefault="00610B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89" w:rsidRDefault="00241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1части 5 статьи 1 Закона города Москвы от                                    11 июля 2012 года № 39 «О наделении органов 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муниципальных округов в городе Москве отдельными полномочиями города Москвы», рассмотрев обращение Департамента средств массовой информации и рекламы города Москвы от 02.04.2021 № 02-25-141/21,</w:t>
      </w:r>
    </w:p>
    <w:p w:rsidR="00610B89" w:rsidRDefault="00241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Черемушки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610B89" w:rsidRDefault="00241363">
      <w:pPr>
        <w:pStyle w:val="10"/>
        <w:numPr>
          <w:ilvl w:val="0"/>
          <w:numId w:val="1"/>
        </w:numPr>
        <w:spacing w:after="0" w:line="240" w:lineRule="auto"/>
        <w:ind w:left="0"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тказать в согласовании проекта изменения схемы размещения нестационарных торговых объектов со специализацией «Печать» в части включения адреса в схему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</w:t>
      </w:r>
      <w:r w:rsidRPr="002413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планируемым размещением на газоне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B89" w:rsidRDefault="00241363">
      <w:pPr>
        <w:pStyle w:val="10"/>
        <w:numPr>
          <w:ilvl w:val="0"/>
          <w:numId w:val="1"/>
        </w:numPr>
        <w:spacing w:after="0" w:line="240" w:lineRule="auto"/>
        <w:ind w:left="0"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средств массовой информации и рекламы города Москвы, Департамент территориальных органов исполнительной власти города Москвы, префектуру ЮЗАО города Москвы, управу района Черемушки и Черемушкинскую межрайонную прокуратуру.</w:t>
      </w:r>
    </w:p>
    <w:p w:rsidR="00610B89" w:rsidRDefault="00241363">
      <w:pPr>
        <w:pStyle w:val="10"/>
        <w:numPr>
          <w:ilvl w:val="0"/>
          <w:numId w:val="1"/>
        </w:numPr>
        <w:spacing w:after="0" w:line="240" w:lineRule="auto"/>
        <w:ind w:left="0"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решение на официальном сайте муниципального округа Черемушки в сети Интернет, бюллетене «</w:t>
      </w:r>
      <w:r>
        <w:rPr>
          <w:rFonts w:ascii="Times New Roman" w:hAnsi="Times New Roman" w:cs="Times New Roman"/>
          <w:sz w:val="28"/>
          <w:szCs w:val="28"/>
        </w:rPr>
        <w:t>Московский муниципальный вестник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бюллетене «</w:t>
      </w:r>
      <w:r>
        <w:rPr>
          <w:rFonts w:ascii="Times New Roman" w:hAnsi="Times New Roman" w:cs="Times New Roman"/>
          <w:sz w:val="28"/>
          <w:szCs w:val="28"/>
        </w:rPr>
        <w:t>Муниципальный вестник района Черемушки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10B89" w:rsidRDefault="002413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2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решения возложить на главу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Черемушки Е.В. Минаеву.</w:t>
      </w:r>
    </w:p>
    <w:p w:rsidR="00610B89" w:rsidRDefault="00610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89" w:rsidRDefault="002413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</w:t>
      </w:r>
    </w:p>
    <w:p w:rsidR="00610B89" w:rsidRDefault="0024136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Черемушки                                                                                    Е.В. Минаева</w:t>
      </w:r>
    </w:p>
    <w:p w:rsidR="00610B89" w:rsidRDefault="00241363">
      <w:pPr>
        <w:spacing w:after="0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610B89" w:rsidRDefault="00241363">
      <w:pPr>
        <w:spacing w:after="0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 муниципального округа Черемушки от 14.04.2021 № 44/6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10B89" w:rsidRDefault="00610B8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89" w:rsidRDefault="00610B8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89" w:rsidRDefault="002413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 изменения схемы размещения нестационарных торговых объектов в части включения адреса в схему размещения</w:t>
      </w:r>
    </w:p>
    <w:p w:rsidR="00610B89" w:rsidRDefault="00610B8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4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934"/>
        <w:gridCol w:w="1476"/>
        <w:gridCol w:w="850"/>
        <w:gridCol w:w="2331"/>
        <w:gridCol w:w="1355"/>
        <w:gridCol w:w="1276"/>
        <w:gridCol w:w="1984"/>
      </w:tblGrid>
      <w:tr w:rsidR="00610B89">
        <w:trPr>
          <w:cantSplit/>
          <w:trHeight w:val="1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размещения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Площадь 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 размещения</w:t>
            </w:r>
          </w:p>
        </w:tc>
      </w:tr>
      <w:tr w:rsidR="00610B89">
        <w:trPr>
          <w:cantSplit/>
          <w:trHeight w:val="1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B89" w:rsidRDefault="0024136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ЮЗАО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B89" w:rsidRDefault="0024136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B89" w:rsidRDefault="0024136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Профсоюзная ул., вл.32, к.1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89" w:rsidRDefault="0024136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1 января по 31 декабря</w:t>
            </w:r>
          </w:p>
        </w:tc>
      </w:tr>
    </w:tbl>
    <w:p w:rsidR="00610B89" w:rsidRDefault="00610B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89" w:rsidRDefault="00241363">
      <w:pPr>
        <w:spacing w:after="0"/>
      </w:pPr>
      <w:r>
        <w:rPr>
          <w:noProof/>
          <w:lang w:eastAsia="ru-RU"/>
        </w:rPr>
        <w:drawing>
          <wp:inline distT="0" distB="0" distL="114300" distR="114300">
            <wp:extent cx="6096000" cy="34290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B89">
      <w:pgSz w:w="11906" w:h="16838"/>
      <w:pgMar w:top="1134" w:right="566" w:bottom="8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87"/>
    <w:rsid w:val="0003602C"/>
    <w:rsid w:val="00215A9E"/>
    <w:rsid w:val="00241363"/>
    <w:rsid w:val="002812C7"/>
    <w:rsid w:val="00311378"/>
    <w:rsid w:val="00340E56"/>
    <w:rsid w:val="003F3CA2"/>
    <w:rsid w:val="00420087"/>
    <w:rsid w:val="00526017"/>
    <w:rsid w:val="00565DF6"/>
    <w:rsid w:val="00610B89"/>
    <w:rsid w:val="006439D6"/>
    <w:rsid w:val="00707F8D"/>
    <w:rsid w:val="00860778"/>
    <w:rsid w:val="0089448B"/>
    <w:rsid w:val="008A2AF2"/>
    <w:rsid w:val="008D32AD"/>
    <w:rsid w:val="008E3032"/>
    <w:rsid w:val="00963385"/>
    <w:rsid w:val="009F15BD"/>
    <w:rsid w:val="00A648C6"/>
    <w:rsid w:val="00AA533B"/>
    <w:rsid w:val="00B15231"/>
    <w:rsid w:val="00B42A6D"/>
    <w:rsid w:val="00B71655"/>
    <w:rsid w:val="00B832F2"/>
    <w:rsid w:val="00BB6AE0"/>
    <w:rsid w:val="00BC5999"/>
    <w:rsid w:val="00C30822"/>
    <w:rsid w:val="00C67E7B"/>
    <w:rsid w:val="00C85431"/>
    <w:rsid w:val="00D206C4"/>
    <w:rsid w:val="00E009B0"/>
    <w:rsid w:val="00E108AF"/>
    <w:rsid w:val="00EB4F17"/>
    <w:rsid w:val="00EC389A"/>
    <w:rsid w:val="00F94E45"/>
    <w:rsid w:val="00FD1B7A"/>
    <w:rsid w:val="055C58F5"/>
    <w:rsid w:val="0BA6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F2CD3-395B-4FF4-97EA-777046E9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index heading"/>
    <w:basedOn w:val="a"/>
    <w:next w:val="1"/>
    <w:qFormat/>
    <w:pPr>
      <w:suppressLineNumbers/>
    </w:pPr>
    <w:rPr>
      <w:rFonts w:cs="Lucida Sans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List"/>
    <w:basedOn w:val="a5"/>
    <w:qFormat/>
    <w:rPr>
      <w:rFonts w:cs="Lucida Sans"/>
    </w:r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myn_cherem@mail.ru</cp:lastModifiedBy>
  <cp:revision>12</cp:revision>
  <cp:lastPrinted>2021-04-14T20:32:00Z</cp:lastPrinted>
  <dcterms:created xsi:type="dcterms:W3CDTF">2020-12-11T12:11:00Z</dcterms:created>
  <dcterms:modified xsi:type="dcterms:W3CDTF">2021-04-14T20:32:00Z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1049-11.2.0.9255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